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1" w:rsidRPr="00916AAE" w:rsidRDefault="00C76BD1" w:rsidP="00C76BD1">
      <w:pPr>
        <w:pStyle w:val="a3"/>
        <w:jc w:val="center"/>
        <w:rPr>
          <w:b/>
          <w:sz w:val="24"/>
          <w:szCs w:val="24"/>
        </w:rPr>
      </w:pPr>
      <w:r w:rsidRPr="00916AAE">
        <w:rPr>
          <w:b/>
          <w:sz w:val="24"/>
          <w:szCs w:val="24"/>
        </w:rPr>
        <w:t>ПОЯСНИТЕЛЬНАЯ ЗАПИСКА</w:t>
      </w:r>
    </w:p>
    <w:p w:rsidR="00C76BD1" w:rsidRDefault="00C76BD1" w:rsidP="00C76BD1">
      <w:pPr>
        <w:pStyle w:val="a3"/>
        <w:jc w:val="center"/>
      </w:pPr>
    </w:p>
    <w:p w:rsidR="00C76BD1" w:rsidRPr="00791D74" w:rsidRDefault="00C76BD1" w:rsidP="00C76BD1">
      <w:pPr>
        <w:pStyle w:val="a3"/>
        <w:jc w:val="center"/>
      </w:pPr>
      <w:r>
        <w:t>к П</w:t>
      </w:r>
      <w:r w:rsidRPr="00791D74">
        <w:t>роекту решения совета депутатов Бельковского сельского поселения Вохомского муниципального рай</w:t>
      </w:r>
      <w:r>
        <w:t>она «О бюджете поселения на 2021</w:t>
      </w:r>
      <w:r w:rsidRPr="00791D74">
        <w:t>год»</w:t>
      </w:r>
    </w:p>
    <w:p w:rsidR="00C76BD1" w:rsidRPr="00791D74" w:rsidRDefault="00C76BD1" w:rsidP="00C76BD1">
      <w:pPr>
        <w:pStyle w:val="a3"/>
      </w:pPr>
    </w:p>
    <w:p w:rsidR="00C76BD1" w:rsidRPr="00791D74" w:rsidRDefault="00C76BD1" w:rsidP="00C76BD1">
      <w:pPr>
        <w:pStyle w:val="a3"/>
      </w:pPr>
      <w:r w:rsidRPr="00791D74">
        <w:t>Настоящая пояснительная записка содержит пояснения к проекти</w:t>
      </w:r>
      <w:r>
        <w:t>ровкам бюджета поселения на 2021</w:t>
      </w:r>
      <w:r w:rsidRPr="00791D74">
        <w:t xml:space="preserve"> год, расчетам доходов и ра</w:t>
      </w:r>
      <w:r>
        <w:t>сходов бюджета поселения на 2021</w:t>
      </w:r>
      <w:r w:rsidRPr="00791D74">
        <w:t xml:space="preserve"> год.</w:t>
      </w:r>
    </w:p>
    <w:p w:rsidR="00C76BD1" w:rsidRPr="00791D74" w:rsidRDefault="00C76BD1" w:rsidP="00C76BD1">
      <w:pPr>
        <w:pStyle w:val="a3"/>
      </w:pPr>
    </w:p>
    <w:p w:rsidR="00C76BD1" w:rsidRPr="00791D74" w:rsidRDefault="00C76BD1" w:rsidP="00C76BD1">
      <w:pPr>
        <w:pStyle w:val="a3"/>
        <w:jc w:val="center"/>
      </w:pPr>
      <w:r w:rsidRPr="00791D74">
        <w:t>ДОХОДЫ БЮДЖЕТА ПОСЕЛЕНИЯ</w:t>
      </w:r>
    </w:p>
    <w:p w:rsidR="00C76BD1" w:rsidRPr="00791D74" w:rsidRDefault="00C76BD1" w:rsidP="00C76BD1">
      <w:pPr>
        <w:pStyle w:val="a3"/>
      </w:pPr>
      <w:r w:rsidRPr="00791D74">
        <w:t>Общий объем д</w:t>
      </w:r>
      <w:r>
        <w:t>оходов бюджета поселения на 2021</w:t>
      </w:r>
      <w:r w:rsidRPr="00791D74">
        <w:t xml:space="preserve"> г</w:t>
      </w:r>
      <w:r>
        <w:t>од определен в сумме 2339460</w:t>
      </w:r>
      <w:r w:rsidRPr="00791D74">
        <w:t xml:space="preserve"> руб., что ниже дох</w:t>
      </w:r>
      <w:r>
        <w:t>одов за сравниваемый период 2020 года на 625</w:t>
      </w:r>
      <w:r w:rsidRPr="00791D74">
        <w:t xml:space="preserve"> тыс</w:t>
      </w:r>
      <w:proofErr w:type="gramStart"/>
      <w:r w:rsidRPr="00791D74">
        <w:t>.р</w:t>
      </w:r>
      <w:proofErr w:type="gramEnd"/>
      <w:r w:rsidRPr="00791D74">
        <w:t>уб. Доходы бюджета поселения сформированы по двум основным группам: «Доходы» и «Безвозмездные поступления».</w:t>
      </w:r>
    </w:p>
    <w:p w:rsidR="00C76BD1" w:rsidRPr="00791D74" w:rsidRDefault="00C76BD1" w:rsidP="00C76BD1">
      <w:pPr>
        <w:pStyle w:val="a3"/>
      </w:pPr>
      <w:proofErr w:type="gramStart"/>
      <w:r w:rsidRPr="00791D74">
        <w:t>Формирование проекти</w:t>
      </w:r>
      <w:r>
        <w:t>ровок параметров бюджета на 2021</w:t>
      </w:r>
      <w:r w:rsidRPr="00791D74">
        <w:t xml:space="preserve"> год осуществлялось исходя из п</w:t>
      </w:r>
      <w:r>
        <w:t>роекта бюджета поселения на 2021</w:t>
      </w:r>
      <w:r w:rsidRPr="00791D74">
        <w:t xml:space="preserve"> год, а также в соответствии с основными показателями социально-экономиче</w:t>
      </w:r>
      <w:r>
        <w:t>ского развития поселения на 2021</w:t>
      </w:r>
      <w:r w:rsidRPr="00791D74">
        <w:t xml:space="preserve"> год и оценкой поступления налоговых и других обязательных пла</w:t>
      </w:r>
      <w:r>
        <w:t>тежей в бюджетную систему в 2021</w:t>
      </w:r>
      <w:r w:rsidRPr="00791D74">
        <w:t xml:space="preserve"> году, а также их динамика за последние 2 года.</w:t>
      </w:r>
      <w:proofErr w:type="gramEnd"/>
    </w:p>
    <w:p w:rsidR="00C76BD1" w:rsidRPr="00791D74" w:rsidRDefault="00C76BD1" w:rsidP="00C76BD1">
      <w:pPr>
        <w:pStyle w:val="a3"/>
      </w:pPr>
      <w:r w:rsidRPr="00791D74">
        <w:t>Прогнозируемые объемы по коду «Доходы» бюджета поселения определены с учетом:</w:t>
      </w:r>
    </w:p>
    <w:p w:rsidR="00C76BD1" w:rsidRPr="00791D74" w:rsidRDefault="00C76BD1" w:rsidP="00C76BD1">
      <w:pPr>
        <w:pStyle w:val="a3"/>
      </w:pPr>
      <w:r w:rsidRPr="00791D74">
        <w:t>- данных отчетов ФНС России о налоговой базе и структуре начислений по видам налогов;</w:t>
      </w:r>
    </w:p>
    <w:p w:rsidR="00C76BD1" w:rsidRPr="00791D74" w:rsidRDefault="00C76BD1" w:rsidP="00C76BD1">
      <w:pPr>
        <w:pStyle w:val="a3"/>
      </w:pPr>
      <w:r w:rsidRPr="00791D74">
        <w:t>- экспертных оценок предприятий и организаций – основных налогоплательщиков поселений;</w:t>
      </w:r>
    </w:p>
    <w:p w:rsidR="00C76BD1" w:rsidRPr="00791D74" w:rsidRDefault="00C76BD1" w:rsidP="00C76BD1">
      <w:pPr>
        <w:pStyle w:val="a3"/>
      </w:pPr>
      <w:r w:rsidRPr="00791D74">
        <w:t>- расчетного показателя по налогам поселения;</w:t>
      </w:r>
    </w:p>
    <w:p w:rsidR="00C76BD1" w:rsidRPr="00791D74" w:rsidRDefault="00C76BD1" w:rsidP="00C76BD1">
      <w:pPr>
        <w:pStyle w:val="a3"/>
      </w:pPr>
      <w:r w:rsidRPr="00791D74">
        <w:t>- данных, полученных от администрации района – отдела земельных и имущественных отношений поступлений в бюджет поселений.</w:t>
      </w:r>
    </w:p>
    <w:p w:rsidR="00C76BD1" w:rsidRPr="00791D74" w:rsidRDefault="00C76BD1" w:rsidP="00C76BD1">
      <w:pPr>
        <w:pStyle w:val="a3"/>
      </w:pPr>
      <w:proofErr w:type="gramStart"/>
      <w:r w:rsidRPr="00791D74">
        <w:t>При расчете д</w:t>
      </w:r>
      <w:r>
        <w:t>оходов бюджета поселения на 2021</w:t>
      </w:r>
      <w:r w:rsidRPr="00791D74">
        <w:t xml:space="preserve"> год учитывались федеральные законы и проекты региональных законов, предусматривающие внесение изменений и дополнений в налоговое законодательство и бюджетный кодекс РФ, начиная с 1 января 2010 года, а также изменения межбюджетных отношений, предусмотренные проектом федерального закона «О федеральном бюджете» и проектом закона Костромской области «О внесении изменений в Закон Костромской области «О межбюджетных отношениях</w:t>
      </w:r>
      <w:proofErr w:type="gramEnd"/>
      <w:r w:rsidRPr="00791D74">
        <w:t xml:space="preserve"> в Костромской области».</w:t>
      </w:r>
    </w:p>
    <w:p w:rsidR="00C76BD1" w:rsidRPr="00791D74" w:rsidRDefault="00C76BD1" w:rsidP="00C76BD1">
      <w:pPr>
        <w:pStyle w:val="a3"/>
      </w:pPr>
    </w:p>
    <w:p w:rsidR="00C76BD1" w:rsidRPr="00791D74" w:rsidRDefault="00C76BD1" w:rsidP="00C76BD1">
      <w:pPr>
        <w:pStyle w:val="a3"/>
      </w:pPr>
      <w:r w:rsidRPr="00791D74">
        <w:t>Формирован</w:t>
      </w:r>
      <w:r>
        <w:t>ие доходной базы бюджета на 2021</w:t>
      </w:r>
      <w:r w:rsidRPr="00791D74">
        <w:t xml:space="preserve"> год.</w:t>
      </w:r>
    </w:p>
    <w:p w:rsidR="00C76BD1" w:rsidRDefault="00C76BD1" w:rsidP="00C76BD1">
      <w:pPr>
        <w:pStyle w:val="a3"/>
      </w:pPr>
      <w:r w:rsidRPr="00791D74">
        <w:t>Общий объем доходов бюджета поселения (за исключением безвозмездных перечислений)  прог</w:t>
      </w:r>
      <w:r>
        <w:t>нозируется в сумме 1522460</w:t>
      </w:r>
      <w:r w:rsidRPr="00791D74">
        <w:t xml:space="preserve"> рублей. В составе доходов бюджета налог</w:t>
      </w:r>
      <w:r>
        <w:t>овые доходы составляют 571000 руб..</w:t>
      </w:r>
      <w:r w:rsidRPr="00791D74">
        <w:t>тыс</w:t>
      </w:r>
      <w:proofErr w:type="gramStart"/>
      <w:r w:rsidRPr="00791D74">
        <w:t>.р</w:t>
      </w:r>
      <w:proofErr w:type="gramEnd"/>
      <w:r w:rsidRPr="00791D74">
        <w:t>уб.</w:t>
      </w:r>
      <w:r>
        <w:t xml:space="preserve"> </w:t>
      </w:r>
      <w:r w:rsidRPr="00791D74">
        <w:t>Основными доходами формирующими доходную часть бюджета являются налог на доходы физических лиц</w:t>
      </w:r>
      <w:r>
        <w:t xml:space="preserve"> 110000 </w:t>
      </w:r>
      <w:r w:rsidRPr="00791D74">
        <w:t>руб.</w:t>
      </w:r>
      <w:r>
        <w:t xml:space="preserve">, и  земельный налог 550000 </w:t>
      </w:r>
      <w:r w:rsidRPr="00791D74">
        <w:t>руб.</w:t>
      </w:r>
      <w:r>
        <w:t>.</w:t>
      </w:r>
      <w:r w:rsidRPr="00791D74">
        <w:t xml:space="preserve"> </w:t>
      </w:r>
    </w:p>
    <w:p w:rsidR="00C76BD1" w:rsidRPr="00791D74" w:rsidRDefault="00C76BD1" w:rsidP="00C76BD1">
      <w:pPr>
        <w:pStyle w:val="a3"/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76BD1" w:rsidTr="00536F3E">
        <w:tc>
          <w:tcPr>
            <w:tcW w:w="675" w:type="dxa"/>
          </w:tcPr>
          <w:p w:rsidR="00C76BD1" w:rsidRDefault="00C76BD1" w:rsidP="00536F3E">
            <w:r>
              <w:t>№</w:t>
            </w:r>
          </w:p>
        </w:tc>
        <w:tc>
          <w:tcPr>
            <w:tcW w:w="3153" w:type="dxa"/>
          </w:tcPr>
          <w:p w:rsidR="00C76BD1" w:rsidRDefault="00C76BD1" w:rsidP="00536F3E">
            <w:r>
              <w:t>Наименование</w:t>
            </w:r>
          </w:p>
        </w:tc>
        <w:tc>
          <w:tcPr>
            <w:tcW w:w="1914" w:type="dxa"/>
          </w:tcPr>
          <w:p w:rsidR="00C76BD1" w:rsidRDefault="00C76BD1" w:rsidP="00536F3E">
            <w:r>
              <w:t>2021г.</w:t>
            </w:r>
          </w:p>
        </w:tc>
        <w:tc>
          <w:tcPr>
            <w:tcW w:w="1914" w:type="dxa"/>
          </w:tcPr>
          <w:p w:rsidR="00C76BD1" w:rsidRDefault="00C76BD1" w:rsidP="00536F3E">
            <w:r>
              <w:t>2022г.</w:t>
            </w:r>
          </w:p>
        </w:tc>
        <w:tc>
          <w:tcPr>
            <w:tcW w:w="1915" w:type="dxa"/>
          </w:tcPr>
          <w:p w:rsidR="00C76BD1" w:rsidRDefault="00C76BD1" w:rsidP="00536F3E">
            <w:r>
              <w:t>2023г.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1</w:t>
            </w:r>
          </w:p>
        </w:tc>
        <w:tc>
          <w:tcPr>
            <w:tcW w:w="3153" w:type="dxa"/>
          </w:tcPr>
          <w:p w:rsidR="00C76BD1" w:rsidRDefault="00C76BD1" w:rsidP="00536F3E">
            <w:r>
              <w:t>Доходы собственные:</w:t>
            </w:r>
          </w:p>
        </w:tc>
        <w:tc>
          <w:tcPr>
            <w:tcW w:w="1914" w:type="dxa"/>
          </w:tcPr>
          <w:p w:rsidR="00C76BD1" w:rsidRDefault="00C76BD1" w:rsidP="00536F3E">
            <w:r>
              <w:t>2339460</w:t>
            </w:r>
          </w:p>
        </w:tc>
        <w:tc>
          <w:tcPr>
            <w:tcW w:w="1914" w:type="dxa"/>
          </w:tcPr>
          <w:p w:rsidR="00C76BD1" w:rsidRDefault="00C76BD1" w:rsidP="00536F3E">
            <w:r>
              <w:t>2388910</w:t>
            </w:r>
          </w:p>
        </w:tc>
        <w:tc>
          <w:tcPr>
            <w:tcW w:w="1915" w:type="dxa"/>
          </w:tcPr>
          <w:p w:rsidR="00C76BD1" w:rsidRDefault="00C76BD1" w:rsidP="00536F3E">
            <w:r>
              <w:t>2440350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2</w:t>
            </w:r>
          </w:p>
        </w:tc>
        <w:tc>
          <w:tcPr>
            <w:tcW w:w="3153" w:type="dxa"/>
          </w:tcPr>
          <w:p w:rsidR="00C76BD1" w:rsidRDefault="00C76BD1" w:rsidP="00536F3E">
            <w:r>
              <w:t>В.т</w:t>
            </w:r>
            <w:proofErr w:type="gramStart"/>
            <w:r>
              <w:t>.ч</w:t>
            </w:r>
            <w:proofErr w:type="gramEnd"/>
            <w:r>
              <w:t>НДФЛ</w:t>
            </w:r>
          </w:p>
        </w:tc>
        <w:tc>
          <w:tcPr>
            <w:tcW w:w="1914" w:type="dxa"/>
          </w:tcPr>
          <w:p w:rsidR="00C76BD1" w:rsidRDefault="00C76BD1" w:rsidP="00536F3E">
            <w:r>
              <w:t>571000</w:t>
            </w:r>
          </w:p>
        </w:tc>
        <w:tc>
          <w:tcPr>
            <w:tcW w:w="1914" w:type="dxa"/>
          </w:tcPr>
          <w:p w:rsidR="00C76BD1" w:rsidRDefault="00C76BD1" w:rsidP="00536F3E">
            <w:r>
              <w:t>585000</w:t>
            </w:r>
          </w:p>
        </w:tc>
        <w:tc>
          <w:tcPr>
            <w:tcW w:w="1915" w:type="dxa"/>
          </w:tcPr>
          <w:p w:rsidR="00C76BD1" w:rsidRDefault="00C76BD1" w:rsidP="00536F3E">
            <w:r>
              <w:t>595000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3</w:t>
            </w:r>
          </w:p>
        </w:tc>
        <w:tc>
          <w:tcPr>
            <w:tcW w:w="3153" w:type="dxa"/>
          </w:tcPr>
          <w:p w:rsidR="00C76BD1" w:rsidRDefault="00C76BD1" w:rsidP="00536F3E">
            <w:r>
              <w:t>Акцизы</w:t>
            </w:r>
          </w:p>
        </w:tc>
        <w:tc>
          <w:tcPr>
            <w:tcW w:w="1914" w:type="dxa"/>
          </w:tcPr>
          <w:p w:rsidR="00C76BD1" w:rsidRDefault="00C76BD1" w:rsidP="00536F3E">
            <w:r>
              <w:t>1008460</w:t>
            </w:r>
          </w:p>
        </w:tc>
        <w:tc>
          <w:tcPr>
            <w:tcW w:w="1914" w:type="dxa"/>
          </w:tcPr>
          <w:p w:rsidR="00C76BD1" w:rsidRDefault="00C76BD1" w:rsidP="00536F3E">
            <w:r>
              <w:t>1048910</w:t>
            </w:r>
          </w:p>
        </w:tc>
        <w:tc>
          <w:tcPr>
            <w:tcW w:w="1915" w:type="dxa"/>
          </w:tcPr>
          <w:p w:rsidR="00C76BD1" w:rsidRDefault="00C76BD1" w:rsidP="00536F3E">
            <w:r>
              <w:t>1085350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4</w:t>
            </w:r>
          </w:p>
        </w:tc>
        <w:tc>
          <w:tcPr>
            <w:tcW w:w="3153" w:type="dxa"/>
          </w:tcPr>
          <w:p w:rsidR="00C76BD1" w:rsidRDefault="00C76BD1" w:rsidP="00536F3E">
            <w:r>
              <w:t>Упрощенка</w:t>
            </w:r>
          </w:p>
        </w:tc>
        <w:tc>
          <w:tcPr>
            <w:tcW w:w="1914" w:type="dxa"/>
          </w:tcPr>
          <w:p w:rsidR="00C76BD1" w:rsidRDefault="00C76BD1" w:rsidP="00536F3E">
            <w:r>
              <w:t>100000</w:t>
            </w:r>
          </w:p>
        </w:tc>
        <w:tc>
          <w:tcPr>
            <w:tcW w:w="1914" w:type="dxa"/>
          </w:tcPr>
          <w:p w:rsidR="00C76BD1" w:rsidRDefault="00C76BD1" w:rsidP="00536F3E">
            <w:r>
              <w:t>105000</w:t>
            </w:r>
          </w:p>
        </w:tc>
        <w:tc>
          <w:tcPr>
            <w:tcW w:w="1915" w:type="dxa"/>
          </w:tcPr>
          <w:p w:rsidR="00C76BD1" w:rsidRDefault="00C76BD1" w:rsidP="00536F3E">
            <w:r>
              <w:t>110000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5</w:t>
            </w:r>
          </w:p>
        </w:tc>
        <w:tc>
          <w:tcPr>
            <w:tcW w:w="3153" w:type="dxa"/>
          </w:tcPr>
          <w:p w:rsidR="00C76BD1" w:rsidRDefault="00C76BD1" w:rsidP="00536F3E">
            <w:r>
              <w:t>Имущество</w:t>
            </w:r>
          </w:p>
        </w:tc>
        <w:tc>
          <w:tcPr>
            <w:tcW w:w="1914" w:type="dxa"/>
          </w:tcPr>
          <w:p w:rsidR="00C76BD1" w:rsidRDefault="00C76BD1" w:rsidP="00536F3E">
            <w:r>
              <w:t>110000</w:t>
            </w:r>
          </w:p>
        </w:tc>
        <w:tc>
          <w:tcPr>
            <w:tcW w:w="1914" w:type="dxa"/>
          </w:tcPr>
          <w:p w:rsidR="00C76BD1" w:rsidRDefault="00C76BD1" w:rsidP="00536F3E">
            <w:r>
              <w:t>95000</w:t>
            </w:r>
          </w:p>
        </w:tc>
        <w:tc>
          <w:tcPr>
            <w:tcW w:w="1915" w:type="dxa"/>
          </w:tcPr>
          <w:p w:rsidR="00C76BD1" w:rsidRDefault="00C76BD1" w:rsidP="00536F3E">
            <w:r>
              <w:t>95000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6</w:t>
            </w:r>
          </w:p>
        </w:tc>
        <w:tc>
          <w:tcPr>
            <w:tcW w:w="3153" w:type="dxa"/>
          </w:tcPr>
          <w:p w:rsidR="00C76BD1" w:rsidRDefault="00C76BD1" w:rsidP="00536F3E">
            <w:r>
              <w:t>Земельный налог</w:t>
            </w:r>
          </w:p>
        </w:tc>
        <w:tc>
          <w:tcPr>
            <w:tcW w:w="1914" w:type="dxa"/>
          </w:tcPr>
          <w:p w:rsidR="00C76BD1" w:rsidRDefault="00C76BD1" w:rsidP="00536F3E">
            <w:r>
              <w:t>550000</w:t>
            </w:r>
          </w:p>
        </w:tc>
        <w:tc>
          <w:tcPr>
            <w:tcW w:w="1914" w:type="dxa"/>
          </w:tcPr>
          <w:p w:rsidR="00C76BD1" w:rsidRDefault="00C76BD1" w:rsidP="00536F3E">
            <w:r>
              <w:t>555000</w:t>
            </w:r>
          </w:p>
        </w:tc>
        <w:tc>
          <w:tcPr>
            <w:tcW w:w="1915" w:type="dxa"/>
          </w:tcPr>
          <w:p w:rsidR="00C76BD1" w:rsidRDefault="00C76BD1" w:rsidP="00536F3E">
            <w:r>
              <w:t>555000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7</w:t>
            </w:r>
          </w:p>
        </w:tc>
        <w:tc>
          <w:tcPr>
            <w:tcW w:w="3153" w:type="dxa"/>
          </w:tcPr>
          <w:p w:rsidR="00C76BD1" w:rsidRDefault="00C76BD1" w:rsidP="00536F3E">
            <w:r>
              <w:t>Безвозмездные поступления:</w:t>
            </w:r>
          </w:p>
        </w:tc>
        <w:tc>
          <w:tcPr>
            <w:tcW w:w="1914" w:type="dxa"/>
          </w:tcPr>
          <w:p w:rsidR="00C76BD1" w:rsidRDefault="00C76BD1" w:rsidP="00536F3E">
            <w:r>
              <w:t>817000</w:t>
            </w:r>
          </w:p>
        </w:tc>
        <w:tc>
          <w:tcPr>
            <w:tcW w:w="1914" w:type="dxa"/>
          </w:tcPr>
          <w:p w:rsidR="00C76BD1" w:rsidRDefault="00C76BD1" w:rsidP="00536F3E">
            <w:r>
              <w:t>741000</w:t>
            </w:r>
          </w:p>
        </w:tc>
        <w:tc>
          <w:tcPr>
            <w:tcW w:w="1915" w:type="dxa"/>
          </w:tcPr>
          <w:p w:rsidR="00C76BD1" w:rsidRDefault="00C76BD1" w:rsidP="00536F3E">
            <w:r>
              <w:t>711800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8</w:t>
            </w:r>
          </w:p>
        </w:tc>
        <w:tc>
          <w:tcPr>
            <w:tcW w:w="3153" w:type="dxa"/>
          </w:tcPr>
          <w:p w:rsidR="00C76BD1" w:rsidRDefault="00C76BD1" w:rsidP="00536F3E">
            <w:r>
              <w:t>В т</w:t>
            </w:r>
            <w:proofErr w:type="gramStart"/>
            <w:r>
              <w:t>.ч</w:t>
            </w:r>
            <w:proofErr w:type="gramEnd"/>
            <w:r>
              <w:t>Дотация</w:t>
            </w:r>
          </w:p>
        </w:tc>
        <w:tc>
          <w:tcPr>
            <w:tcW w:w="1914" w:type="dxa"/>
          </w:tcPr>
          <w:p w:rsidR="00C76BD1" w:rsidRDefault="00C76BD1" w:rsidP="00536F3E">
            <w:r>
              <w:t>718000</w:t>
            </w:r>
          </w:p>
        </w:tc>
        <w:tc>
          <w:tcPr>
            <w:tcW w:w="1914" w:type="dxa"/>
          </w:tcPr>
          <w:p w:rsidR="00C76BD1" w:rsidRDefault="00C76BD1" w:rsidP="00536F3E">
            <w:r>
              <w:t>641000</w:t>
            </w:r>
          </w:p>
        </w:tc>
        <w:tc>
          <w:tcPr>
            <w:tcW w:w="1915" w:type="dxa"/>
          </w:tcPr>
          <w:p w:rsidR="00C76BD1" w:rsidRDefault="00C76BD1" w:rsidP="00536F3E">
            <w:r>
              <w:t>608000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9</w:t>
            </w:r>
          </w:p>
        </w:tc>
        <w:tc>
          <w:tcPr>
            <w:tcW w:w="3153" w:type="dxa"/>
          </w:tcPr>
          <w:p w:rsidR="00C76BD1" w:rsidRDefault="00C76BD1" w:rsidP="00536F3E">
            <w:r>
              <w:t>Воинский учет</w:t>
            </w:r>
          </w:p>
        </w:tc>
        <w:tc>
          <w:tcPr>
            <w:tcW w:w="1914" w:type="dxa"/>
          </w:tcPr>
          <w:p w:rsidR="00C76BD1" w:rsidRDefault="00C76BD1" w:rsidP="00536F3E">
            <w:r>
              <w:t>96500</w:t>
            </w:r>
          </w:p>
        </w:tc>
        <w:tc>
          <w:tcPr>
            <w:tcW w:w="1914" w:type="dxa"/>
          </w:tcPr>
          <w:p w:rsidR="00C76BD1" w:rsidRDefault="00C76BD1" w:rsidP="00536F3E">
            <w:r>
              <w:t>97500</w:t>
            </w:r>
          </w:p>
        </w:tc>
        <w:tc>
          <w:tcPr>
            <w:tcW w:w="1915" w:type="dxa"/>
          </w:tcPr>
          <w:p w:rsidR="00C76BD1" w:rsidRDefault="00C76BD1" w:rsidP="00536F3E">
            <w:r>
              <w:t>101300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10</w:t>
            </w:r>
          </w:p>
        </w:tc>
        <w:tc>
          <w:tcPr>
            <w:tcW w:w="3153" w:type="dxa"/>
          </w:tcPr>
          <w:p w:rsidR="00C76BD1" w:rsidRDefault="00C76BD1" w:rsidP="00536F3E">
            <w:r>
              <w:t>Протокола</w:t>
            </w:r>
          </w:p>
        </w:tc>
        <w:tc>
          <w:tcPr>
            <w:tcW w:w="1914" w:type="dxa"/>
          </w:tcPr>
          <w:p w:rsidR="00C76BD1" w:rsidRDefault="00C76BD1" w:rsidP="00536F3E">
            <w:r>
              <w:t>2500</w:t>
            </w:r>
          </w:p>
        </w:tc>
        <w:tc>
          <w:tcPr>
            <w:tcW w:w="1914" w:type="dxa"/>
          </w:tcPr>
          <w:p w:rsidR="00C76BD1" w:rsidRDefault="00C76BD1" w:rsidP="00536F3E">
            <w:r>
              <w:t>2500</w:t>
            </w:r>
          </w:p>
        </w:tc>
        <w:tc>
          <w:tcPr>
            <w:tcW w:w="1915" w:type="dxa"/>
          </w:tcPr>
          <w:p w:rsidR="00C76BD1" w:rsidRDefault="00C76BD1" w:rsidP="00536F3E">
            <w:r>
              <w:t>2500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11</w:t>
            </w:r>
          </w:p>
        </w:tc>
        <w:tc>
          <w:tcPr>
            <w:tcW w:w="3153" w:type="dxa"/>
          </w:tcPr>
          <w:p w:rsidR="00C76BD1" w:rsidRDefault="00C76BD1" w:rsidP="00536F3E">
            <w:r>
              <w:t>Всего доходов:</w:t>
            </w:r>
          </w:p>
        </w:tc>
        <w:tc>
          <w:tcPr>
            <w:tcW w:w="1914" w:type="dxa"/>
          </w:tcPr>
          <w:p w:rsidR="00C76BD1" w:rsidRDefault="00C76BD1" w:rsidP="00536F3E">
            <w:r>
              <w:t>3156460</w:t>
            </w:r>
          </w:p>
        </w:tc>
        <w:tc>
          <w:tcPr>
            <w:tcW w:w="1914" w:type="dxa"/>
          </w:tcPr>
          <w:p w:rsidR="00C76BD1" w:rsidRDefault="00C76BD1" w:rsidP="00536F3E">
            <w:r>
              <w:t>3129910</w:t>
            </w:r>
          </w:p>
        </w:tc>
        <w:tc>
          <w:tcPr>
            <w:tcW w:w="1915" w:type="dxa"/>
          </w:tcPr>
          <w:p w:rsidR="00C76BD1" w:rsidRDefault="00C76BD1" w:rsidP="00536F3E">
            <w:r>
              <w:t>3152150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12</w:t>
            </w:r>
          </w:p>
        </w:tc>
        <w:tc>
          <w:tcPr>
            <w:tcW w:w="3153" w:type="dxa"/>
          </w:tcPr>
          <w:p w:rsidR="00C76BD1" w:rsidRDefault="00C76BD1" w:rsidP="00536F3E">
            <w:r>
              <w:t>Всего расходов</w:t>
            </w:r>
          </w:p>
        </w:tc>
        <w:tc>
          <w:tcPr>
            <w:tcW w:w="1914" w:type="dxa"/>
          </w:tcPr>
          <w:p w:rsidR="00C76BD1" w:rsidRDefault="00C76BD1" w:rsidP="00536F3E">
            <w:r>
              <w:t>3390406</w:t>
            </w:r>
          </w:p>
        </w:tc>
        <w:tc>
          <w:tcPr>
            <w:tcW w:w="1914" w:type="dxa"/>
          </w:tcPr>
          <w:p w:rsidR="00C76BD1" w:rsidRDefault="00C76BD1" w:rsidP="00536F3E">
            <w:r>
              <w:t>3368801</w:t>
            </w:r>
          </w:p>
        </w:tc>
        <w:tc>
          <w:tcPr>
            <w:tcW w:w="1915" w:type="dxa"/>
          </w:tcPr>
          <w:p w:rsidR="00C76BD1" w:rsidRDefault="00C76BD1" w:rsidP="00536F3E">
            <w:r>
              <w:t>3396185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>
            <w:r>
              <w:t>13</w:t>
            </w:r>
          </w:p>
        </w:tc>
        <w:tc>
          <w:tcPr>
            <w:tcW w:w="3153" w:type="dxa"/>
          </w:tcPr>
          <w:p w:rsidR="00C76BD1" w:rsidRDefault="00C76BD1" w:rsidP="00536F3E">
            <w:r>
              <w:t>Дефицит 10%от собственных доходов</w:t>
            </w:r>
          </w:p>
        </w:tc>
        <w:tc>
          <w:tcPr>
            <w:tcW w:w="1914" w:type="dxa"/>
          </w:tcPr>
          <w:p w:rsidR="00C76BD1" w:rsidRDefault="00C76BD1" w:rsidP="00536F3E">
            <w:r>
              <w:t>233946</w:t>
            </w:r>
          </w:p>
        </w:tc>
        <w:tc>
          <w:tcPr>
            <w:tcW w:w="1914" w:type="dxa"/>
          </w:tcPr>
          <w:p w:rsidR="00C76BD1" w:rsidRDefault="00C76BD1" w:rsidP="00536F3E">
            <w:r>
              <w:t>238891</w:t>
            </w:r>
          </w:p>
        </w:tc>
        <w:tc>
          <w:tcPr>
            <w:tcW w:w="1915" w:type="dxa"/>
          </w:tcPr>
          <w:p w:rsidR="00C76BD1" w:rsidRDefault="00C76BD1" w:rsidP="00536F3E">
            <w:r>
              <w:t>244035</w:t>
            </w:r>
          </w:p>
        </w:tc>
      </w:tr>
      <w:tr w:rsidR="00C76BD1" w:rsidTr="00536F3E">
        <w:tc>
          <w:tcPr>
            <w:tcW w:w="675" w:type="dxa"/>
          </w:tcPr>
          <w:p w:rsidR="00C76BD1" w:rsidRDefault="00C76BD1" w:rsidP="00536F3E"/>
        </w:tc>
        <w:tc>
          <w:tcPr>
            <w:tcW w:w="3153" w:type="dxa"/>
          </w:tcPr>
          <w:p w:rsidR="00C76BD1" w:rsidRDefault="00C76BD1" w:rsidP="00536F3E"/>
        </w:tc>
        <w:tc>
          <w:tcPr>
            <w:tcW w:w="1914" w:type="dxa"/>
          </w:tcPr>
          <w:p w:rsidR="00C76BD1" w:rsidRDefault="00C76BD1" w:rsidP="00536F3E"/>
        </w:tc>
        <w:tc>
          <w:tcPr>
            <w:tcW w:w="1914" w:type="dxa"/>
          </w:tcPr>
          <w:p w:rsidR="00C76BD1" w:rsidRDefault="00C76BD1" w:rsidP="00536F3E"/>
        </w:tc>
        <w:tc>
          <w:tcPr>
            <w:tcW w:w="1915" w:type="dxa"/>
          </w:tcPr>
          <w:p w:rsidR="00C76BD1" w:rsidRDefault="00C76BD1" w:rsidP="00536F3E"/>
        </w:tc>
      </w:tr>
    </w:tbl>
    <w:p w:rsidR="00C76BD1" w:rsidRDefault="00C76BD1" w:rsidP="00C76BD1">
      <w:pPr>
        <w:pStyle w:val="a3"/>
      </w:pPr>
    </w:p>
    <w:p w:rsidR="00C76BD1" w:rsidRPr="00791D74" w:rsidRDefault="00C76BD1" w:rsidP="00C76BD1">
      <w:pPr>
        <w:pStyle w:val="a3"/>
        <w:rPr>
          <w:u w:val="single"/>
        </w:rPr>
      </w:pPr>
      <w:r w:rsidRPr="00791D74">
        <w:rPr>
          <w:u w:val="single"/>
        </w:rPr>
        <w:lastRenderedPageBreak/>
        <w:t>Особенности расчета поступлений по отдельным видам доходных источников.</w:t>
      </w:r>
    </w:p>
    <w:p w:rsidR="00C76BD1" w:rsidRPr="00791D74" w:rsidRDefault="00C76BD1" w:rsidP="00C76BD1">
      <w:pPr>
        <w:pStyle w:val="a3"/>
        <w:rPr>
          <w:u w:val="single"/>
        </w:rPr>
      </w:pPr>
      <w:r w:rsidRPr="00791D74">
        <w:rPr>
          <w:u w:val="single"/>
        </w:rPr>
        <w:t>Налог на доходы физических лиц.</w:t>
      </w:r>
    </w:p>
    <w:p w:rsidR="00C76BD1" w:rsidRDefault="00C76BD1" w:rsidP="00C76BD1">
      <w:pPr>
        <w:pStyle w:val="a3"/>
      </w:pPr>
      <w:proofErr w:type="gramStart"/>
      <w:r w:rsidRPr="00791D74">
        <w:t>При расчете данного налога учитывался средний рост поступления данного налога за последние 5 лет, прогноз по фонду оплаты труда, а также изменения в налоговом законодательстве, предусматривающие увеличение размера налогового вычета по налогу на доходы физических лиц, предоставляемого налогоплательщиком с одновременным установлением предельного размера дохода.</w:t>
      </w:r>
      <w:proofErr w:type="gramEnd"/>
      <w:r w:rsidRPr="00791D74">
        <w:t xml:space="preserve"> Налог на доходы с физи</w:t>
      </w:r>
      <w:r>
        <w:t>ческих лиц запланирован  660000 руб</w:t>
      </w:r>
      <w:proofErr w:type="gramStart"/>
      <w:r>
        <w:t xml:space="preserve">.. </w:t>
      </w:r>
      <w:proofErr w:type="gramEnd"/>
    </w:p>
    <w:p w:rsidR="00C76BD1" w:rsidRPr="00791D74" w:rsidRDefault="00C76BD1" w:rsidP="00C76BD1">
      <w:pPr>
        <w:pStyle w:val="a3"/>
        <w:rPr>
          <w:u w:val="single"/>
        </w:rPr>
      </w:pPr>
      <w:r w:rsidRPr="00791D74">
        <w:rPr>
          <w:u w:val="single"/>
        </w:rPr>
        <w:t>Безвозмездные перечисления.</w:t>
      </w:r>
    </w:p>
    <w:p w:rsidR="00C76BD1" w:rsidRPr="00791D74" w:rsidRDefault="00C76BD1" w:rsidP="00C76BD1">
      <w:pPr>
        <w:pStyle w:val="a3"/>
      </w:pPr>
      <w:r w:rsidRPr="00791D74">
        <w:t xml:space="preserve">Объем безвозмездных перечислений складывается </w:t>
      </w:r>
      <w:proofErr w:type="gramStart"/>
      <w:r w:rsidRPr="00791D74">
        <w:t>из</w:t>
      </w:r>
      <w:proofErr w:type="gramEnd"/>
      <w:r w:rsidRPr="00791D74">
        <w:t>:</w:t>
      </w:r>
    </w:p>
    <w:p w:rsidR="00C76BD1" w:rsidRPr="00791D74" w:rsidRDefault="00C76BD1" w:rsidP="00C76BD1">
      <w:pPr>
        <w:pStyle w:val="a3"/>
      </w:pPr>
      <w:r w:rsidRPr="00791D74">
        <w:t>- финансовой помощи из районного и областного бюджета в виде дотации</w:t>
      </w:r>
      <w:r>
        <w:t>. В 2021 г. объем дотаций ожидается в сумме 718000 руб</w:t>
      </w:r>
      <w:proofErr w:type="gramStart"/>
      <w:r>
        <w:t>..</w:t>
      </w:r>
      <w:r w:rsidRPr="00791D74">
        <w:t xml:space="preserve"> </w:t>
      </w:r>
      <w:proofErr w:type="gramEnd"/>
    </w:p>
    <w:p w:rsidR="00C76BD1" w:rsidRPr="00791D74" w:rsidRDefault="00C76BD1" w:rsidP="00C76BD1">
      <w:pPr>
        <w:pStyle w:val="a3"/>
        <w:rPr>
          <w:u w:val="single"/>
        </w:rPr>
      </w:pPr>
      <w:r w:rsidRPr="00791D74">
        <w:rPr>
          <w:u w:val="single"/>
        </w:rPr>
        <w:t>Расходы бюджета.</w:t>
      </w:r>
    </w:p>
    <w:p w:rsidR="00C76BD1" w:rsidRPr="00791D74" w:rsidRDefault="00C76BD1" w:rsidP="00C76BD1">
      <w:pPr>
        <w:pStyle w:val="a3"/>
      </w:pPr>
      <w:r w:rsidRPr="00791D74">
        <w:t>Объем расходо</w:t>
      </w:r>
      <w:r>
        <w:t>в местного бюджета на 2021</w:t>
      </w:r>
      <w:r w:rsidRPr="00791D74">
        <w:t xml:space="preserve"> год  в сумме </w:t>
      </w:r>
      <w:r>
        <w:t>3390406 руб</w:t>
      </w:r>
      <w:proofErr w:type="gramStart"/>
      <w:r>
        <w:t xml:space="preserve">.. </w:t>
      </w:r>
      <w:proofErr w:type="gramEnd"/>
      <w:r w:rsidRPr="00791D74">
        <w:t>В структуру расходных обязательств включена оценка расходов бюджета, и</w:t>
      </w:r>
      <w:r>
        <w:t>сходя из ожидаемых расходов 2021</w:t>
      </w:r>
      <w:r w:rsidRPr="00791D74">
        <w:t xml:space="preserve"> года. Расходы на 2019год запланированы по заработной плате работников бюджетных отраслей </w:t>
      </w:r>
      <w:proofErr w:type="gramStart"/>
      <w:r w:rsidRPr="00791D74">
        <w:t>исходя из фонда оплаты труда, существующего на данный период времени</w:t>
      </w:r>
      <w:proofErr w:type="gramEnd"/>
      <w:r w:rsidRPr="00791D74">
        <w:t>. При формировании расходов бюджета на 2019 год запланированы</w:t>
      </w:r>
      <w:r>
        <w:t xml:space="preserve"> самые необходимые расходы </w:t>
      </w:r>
      <w:proofErr w:type="gramStart"/>
      <w:r>
        <w:t>(</w:t>
      </w:r>
      <w:r w:rsidRPr="00791D74">
        <w:t xml:space="preserve"> </w:t>
      </w:r>
      <w:proofErr w:type="gramEnd"/>
      <w:r w:rsidRPr="00791D74">
        <w:t>рублей) на:</w:t>
      </w:r>
    </w:p>
    <w:p w:rsidR="00C76BD1" w:rsidRPr="00791D74" w:rsidRDefault="00C76BD1" w:rsidP="00C76BD1">
      <w:pPr>
        <w:pStyle w:val="a3"/>
      </w:pPr>
      <w:r w:rsidRPr="00791D74">
        <w:t>01 – Общегосударственные воп</w:t>
      </w:r>
      <w:r>
        <w:t xml:space="preserve">росы        1745901            </w:t>
      </w:r>
    </w:p>
    <w:p w:rsidR="00C76BD1" w:rsidRDefault="00C76BD1" w:rsidP="00C76BD1">
      <w:pPr>
        <w:pStyle w:val="a3"/>
      </w:pPr>
      <w:r w:rsidRPr="00791D74">
        <w:t>02 – Национальная оборо</w:t>
      </w:r>
      <w:r>
        <w:t>на                           101300</w:t>
      </w:r>
      <w:r w:rsidRPr="00791D74">
        <w:t xml:space="preserve">              </w:t>
      </w:r>
    </w:p>
    <w:p w:rsidR="00C76BD1" w:rsidRPr="00791D74" w:rsidRDefault="00C76BD1" w:rsidP="00C76BD1">
      <w:pPr>
        <w:pStyle w:val="a3"/>
      </w:pPr>
      <w:r w:rsidRPr="00791D74">
        <w:t xml:space="preserve">03 – Национальная безопасность          </w:t>
      </w:r>
      <w:r>
        <w:t xml:space="preserve">          3800                 </w:t>
      </w:r>
    </w:p>
    <w:p w:rsidR="00C76BD1" w:rsidRPr="00791D74" w:rsidRDefault="00C76BD1" w:rsidP="00C76BD1">
      <w:pPr>
        <w:pStyle w:val="a3"/>
      </w:pPr>
      <w:r w:rsidRPr="00791D74">
        <w:t xml:space="preserve">04 – Национальная экономика  </w:t>
      </w:r>
      <w:r>
        <w:t xml:space="preserve">                       1085350</w:t>
      </w:r>
      <w:r>
        <w:tab/>
      </w:r>
    </w:p>
    <w:p w:rsidR="00C76BD1" w:rsidRPr="00791D74" w:rsidRDefault="00C76BD1" w:rsidP="00C76BD1">
      <w:pPr>
        <w:pStyle w:val="a3"/>
      </w:pPr>
      <w:r w:rsidRPr="00791D74">
        <w:t xml:space="preserve">05- </w:t>
      </w:r>
      <w:proofErr w:type="gramStart"/>
      <w:r w:rsidRPr="00791D74">
        <w:t>Жилищно</w:t>
      </w:r>
      <w:r>
        <w:t>- коммунальное</w:t>
      </w:r>
      <w:proofErr w:type="gramEnd"/>
      <w:r>
        <w:t xml:space="preserve"> хозяйство</w:t>
      </w:r>
      <w:r>
        <w:tab/>
        <w:t>249834</w:t>
      </w:r>
      <w:r>
        <w:tab/>
      </w:r>
    </w:p>
    <w:p w:rsidR="00C76BD1" w:rsidRPr="00791D74" w:rsidRDefault="00C76BD1" w:rsidP="00C76BD1">
      <w:pPr>
        <w:pStyle w:val="a3"/>
      </w:pPr>
      <w:r w:rsidRPr="00791D74">
        <w:t xml:space="preserve">07-Образование                       </w:t>
      </w:r>
      <w:r>
        <w:t xml:space="preserve">                           27600           </w:t>
      </w:r>
    </w:p>
    <w:p w:rsidR="00C76BD1" w:rsidRPr="00791D74" w:rsidRDefault="00C76BD1" w:rsidP="00C76BD1">
      <w:pPr>
        <w:pStyle w:val="a3"/>
      </w:pPr>
      <w:r w:rsidRPr="00791D74">
        <w:t xml:space="preserve">08 – Культура                              </w:t>
      </w:r>
      <w:r>
        <w:t xml:space="preserve">                      127200</w:t>
      </w:r>
      <w:r>
        <w:tab/>
      </w:r>
    </w:p>
    <w:p w:rsidR="00C76BD1" w:rsidRPr="00791D74" w:rsidRDefault="00C76BD1" w:rsidP="00C76BD1">
      <w:pPr>
        <w:pStyle w:val="a3"/>
      </w:pPr>
      <w:r w:rsidRPr="00791D74">
        <w:t>10 – Социальная политика</w:t>
      </w:r>
      <w:r w:rsidRPr="00791D74">
        <w:tab/>
      </w:r>
      <w:r>
        <w:t xml:space="preserve">                    </w:t>
      </w:r>
      <w:r w:rsidRPr="00791D74">
        <w:t>24</w:t>
      </w:r>
      <w:r>
        <w:t>000</w:t>
      </w:r>
      <w:r>
        <w:tab/>
      </w:r>
    </w:p>
    <w:p w:rsidR="00C76BD1" w:rsidRPr="00791D74" w:rsidRDefault="00C76BD1" w:rsidP="00C76BD1">
      <w:pPr>
        <w:pStyle w:val="a3"/>
      </w:pPr>
      <w:r w:rsidRPr="00791D74">
        <w:t>11 – Физическая культура и сп</w:t>
      </w:r>
      <w:r>
        <w:t>орт                 31200</w:t>
      </w:r>
      <w:r>
        <w:tab/>
      </w:r>
    </w:p>
    <w:p w:rsidR="00C76BD1" w:rsidRPr="00791D74" w:rsidRDefault="00C76BD1" w:rsidP="00C76BD1">
      <w:pPr>
        <w:pStyle w:val="a3"/>
      </w:pPr>
      <w:r>
        <w:t>Итого:</w:t>
      </w:r>
      <w:r>
        <w:tab/>
        <w:t>3396185</w:t>
      </w:r>
    </w:p>
    <w:p w:rsidR="00C76BD1" w:rsidRPr="00791D74" w:rsidRDefault="00C76BD1" w:rsidP="00C76BD1">
      <w:pPr>
        <w:pStyle w:val="a3"/>
      </w:pPr>
    </w:p>
    <w:p w:rsidR="00C76BD1" w:rsidRPr="00791D74" w:rsidRDefault="00C76BD1" w:rsidP="00C76BD1">
      <w:pPr>
        <w:pStyle w:val="a3"/>
        <w:rPr>
          <w:b/>
        </w:rPr>
      </w:pPr>
    </w:p>
    <w:p w:rsidR="00C76BD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Основные направления бюджетной и налоговой политики при формировании бюджета</w:t>
      </w:r>
    </w:p>
    <w:p w:rsidR="00C76BD1" w:rsidRDefault="00C76BD1" w:rsidP="00C76BD1">
      <w:pPr>
        <w:pStyle w:val="a3"/>
        <w:rPr>
          <w:b/>
        </w:rPr>
      </w:pPr>
      <w:r w:rsidRPr="00784EC1">
        <w:rPr>
          <w:b/>
        </w:rPr>
        <w:t>Бельковс</w:t>
      </w:r>
      <w:r>
        <w:rPr>
          <w:b/>
        </w:rPr>
        <w:t>кого сельского поселения на 2021</w:t>
      </w:r>
      <w:r w:rsidRPr="00784EC1">
        <w:rPr>
          <w:b/>
        </w:rPr>
        <w:t xml:space="preserve"> год</w:t>
      </w:r>
    </w:p>
    <w:p w:rsidR="00C76BD1" w:rsidRPr="00784EC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</w:pPr>
      <w:r>
        <w:t xml:space="preserve">  </w:t>
      </w:r>
      <w:proofErr w:type="gramStart"/>
      <w:r w:rsidRPr="00784EC1">
        <w:t>В основу формирования бюджетной политики положены результаты реализации на территории области федеральных законов от 06.10.2003 года  № 131-Фз «Об общих принципах организации местного самоуправления в Российской Федерации»,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реформирования межбюджетных отношений, разграничения расходных полномочий между уровнями власти.</w:t>
      </w:r>
      <w:proofErr w:type="gramEnd"/>
    </w:p>
    <w:p w:rsidR="00C76BD1" w:rsidRPr="00784EC1" w:rsidRDefault="00C76BD1" w:rsidP="00C76BD1">
      <w:pPr>
        <w:pStyle w:val="a3"/>
      </w:pPr>
      <w:r w:rsidRPr="00784EC1">
        <w:t>Основными задачами бюджетной, налог</w:t>
      </w:r>
      <w:r>
        <w:t>овой и долговой политики на 2021</w:t>
      </w:r>
      <w:r w:rsidRPr="00784EC1">
        <w:t xml:space="preserve"> год, а также в среднесрочной перспективе являются:</w:t>
      </w:r>
    </w:p>
    <w:p w:rsidR="00C76BD1" w:rsidRPr="00784EC1" w:rsidRDefault="00C76BD1" w:rsidP="00C76BD1">
      <w:pPr>
        <w:pStyle w:val="a3"/>
      </w:pPr>
      <w:r w:rsidRPr="00784EC1">
        <w:t>-реализация мероприятий</w:t>
      </w:r>
      <w:proofErr w:type="gramStart"/>
      <w:r w:rsidRPr="00784EC1">
        <w:t xml:space="preserve"> ,</w:t>
      </w:r>
      <w:proofErr w:type="gramEnd"/>
      <w:r w:rsidRPr="00784EC1">
        <w:t>направленных на выполнение указов Президента РФ</w:t>
      </w:r>
    </w:p>
    <w:p w:rsidR="00C76BD1" w:rsidRPr="00784EC1" w:rsidRDefault="00C76BD1" w:rsidP="00C76BD1">
      <w:pPr>
        <w:pStyle w:val="a3"/>
      </w:pPr>
      <w:r w:rsidRPr="00784EC1">
        <w:t>- совершенствование бюджетного процесса;</w:t>
      </w:r>
    </w:p>
    <w:p w:rsidR="00C76BD1" w:rsidRPr="00784EC1" w:rsidRDefault="00C76BD1" w:rsidP="00C76BD1">
      <w:pPr>
        <w:pStyle w:val="a3"/>
      </w:pPr>
      <w:r w:rsidRPr="00784EC1">
        <w:t>- повышение доходной базы консолидированного бюджета Бельковского сельского поселения;</w:t>
      </w:r>
    </w:p>
    <w:p w:rsidR="00C76BD1" w:rsidRPr="00784EC1" w:rsidRDefault="00C76BD1" w:rsidP="00C76BD1">
      <w:pPr>
        <w:pStyle w:val="a3"/>
      </w:pPr>
      <w:r w:rsidRPr="00784EC1">
        <w:t>- повышение качества и объективности налогового администрирования;</w:t>
      </w:r>
    </w:p>
    <w:p w:rsidR="00C76BD1" w:rsidRPr="00784EC1" w:rsidRDefault="00C76BD1" w:rsidP="00C76BD1">
      <w:pPr>
        <w:pStyle w:val="a3"/>
      </w:pPr>
      <w:r w:rsidRPr="00784EC1">
        <w:t>- индексация заработной платы работников бюджетной сферы;</w:t>
      </w:r>
    </w:p>
    <w:p w:rsidR="00C76BD1" w:rsidRPr="00784EC1" w:rsidRDefault="00C76BD1" w:rsidP="00C76BD1">
      <w:pPr>
        <w:pStyle w:val="a3"/>
      </w:pPr>
      <w:r w:rsidRPr="00784EC1">
        <w:t>- повышение эффективности использования бюджетных средств.</w:t>
      </w:r>
    </w:p>
    <w:p w:rsidR="00C76BD1" w:rsidRPr="00784EC1" w:rsidRDefault="00C76BD1" w:rsidP="00C76BD1">
      <w:pPr>
        <w:pStyle w:val="a3"/>
      </w:pPr>
      <w:r w:rsidRPr="00784EC1">
        <w:t>При определении приоритетов бюджетной политики за основу приняты принципы бюджетного фе</w:t>
      </w:r>
      <w:r>
        <w:t>дерализма, предполагающие в 2021</w:t>
      </w:r>
      <w:r w:rsidRPr="00784EC1">
        <w:t xml:space="preserve"> году и среднесрочной перспективе благоприятные факторы повышения эффективности координации бюджетной политики, социальной политики, а также политики экономического роста.</w:t>
      </w:r>
    </w:p>
    <w:p w:rsidR="00C76BD1" w:rsidRPr="00784EC1" w:rsidRDefault="00C76BD1" w:rsidP="00C76BD1">
      <w:pPr>
        <w:pStyle w:val="a3"/>
      </w:pPr>
      <w:r w:rsidRPr="00784EC1">
        <w:t>В проекте бюджета отражены изменения законодательства Российской Федерации и Костромской области, в первую очередь связанные с уточнением расходных обязательств и формированием межбюджетных отношений.</w:t>
      </w: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lastRenderedPageBreak/>
        <w:t>Основные направления доходов местного бюджета</w:t>
      </w:r>
    </w:p>
    <w:p w:rsidR="00C76BD1" w:rsidRPr="00784EC1" w:rsidRDefault="00C76BD1" w:rsidP="00C76BD1">
      <w:pPr>
        <w:pStyle w:val="a3"/>
      </w:pPr>
      <w:r w:rsidRPr="00784EC1">
        <w:t>Доходы местного бюджета сформированы по двум основным группам: «Налоговые и неналоговые доходы» и «Безвозмездные поступления».</w:t>
      </w: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Налоговые и неналоговые доходы</w:t>
      </w:r>
    </w:p>
    <w:p w:rsidR="00C76BD1" w:rsidRPr="00784EC1" w:rsidRDefault="00C76BD1" w:rsidP="00C76BD1">
      <w:pPr>
        <w:pStyle w:val="a3"/>
      </w:pPr>
      <w:r w:rsidRPr="00784EC1">
        <w:t>Формирование проектировок пар</w:t>
      </w:r>
      <w:r>
        <w:t>аметров местного бюджета на 2021</w:t>
      </w:r>
      <w:r w:rsidRPr="00784EC1">
        <w:t xml:space="preserve"> год,  в соответствии с основными показателями социально-экономиче</w:t>
      </w:r>
      <w:r>
        <w:t>ского развития поселения на 2021</w:t>
      </w:r>
      <w:r w:rsidRPr="00784EC1">
        <w:t xml:space="preserve"> год и оценкой поступления налоговых и других обязательных платежей в бюджетную сис</w:t>
      </w:r>
      <w:r>
        <w:t>тему Российской Федерации в 2021</w:t>
      </w:r>
      <w:r w:rsidRPr="00784EC1">
        <w:t xml:space="preserve"> году.</w:t>
      </w:r>
    </w:p>
    <w:p w:rsidR="00C76BD1" w:rsidRPr="00784EC1" w:rsidRDefault="00C76BD1" w:rsidP="00C76BD1">
      <w:pPr>
        <w:pStyle w:val="a3"/>
      </w:pPr>
      <w:r w:rsidRPr="00784EC1">
        <w:t>При формировании проекта решения «О бюджете Бельковс</w:t>
      </w:r>
      <w:r>
        <w:t>кого сельского поселения на 2021</w:t>
      </w:r>
      <w:r w:rsidRPr="00784EC1">
        <w:t xml:space="preserve"> год» учитывалось налоговое законодательство, действующее на момент составления проекта бюджета, основные направления налоговой политики, предусматривающие внесение изменений и дополнений в законодательство Российской Федерации о налогах и сборах.</w:t>
      </w:r>
    </w:p>
    <w:p w:rsidR="00C76BD1" w:rsidRPr="00784EC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Формирование налогов</w:t>
      </w:r>
      <w:r>
        <w:rPr>
          <w:b/>
        </w:rPr>
        <w:t>ых и неналоговых доходов на 2021</w:t>
      </w:r>
      <w:r w:rsidRPr="00784EC1">
        <w:rPr>
          <w:b/>
        </w:rPr>
        <w:t xml:space="preserve"> год.</w:t>
      </w:r>
    </w:p>
    <w:p w:rsidR="00C76BD1" w:rsidRPr="00784EC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</w:pPr>
      <w:r w:rsidRPr="00784EC1">
        <w:t xml:space="preserve">Общий объем налоговых и неналоговых </w:t>
      </w:r>
      <w:r>
        <w:t>доходов местного бюджета на 2021</w:t>
      </w:r>
      <w:r w:rsidRPr="00784EC1">
        <w:t xml:space="preserve"> год прогнозируется </w:t>
      </w:r>
      <w:r>
        <w:t>в сумме 3156460</w:t>
      </w:r>
      <w:r w:rsidRPr="00784EC1">
        <w:t xml:space="preserve"> рублей</w:t>
      </w:r>
      <w:proofErr w:type="gramStart"/>
      <w:r>
        <w:t>.</w:t>
      </w:r>
      <w:r w:rsidRPr="00784EC1">
        <w:t>С</w:t>
      </w:r>
      <w:proofErr w:type="gramEnd"/>
      <w:r w:rsidRPr="00784EC1">
        <w:t>труктура налоговых и неналоговых доходов местного бюджета характеризуется следующими показателями:</w:t>
      </w: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Основные статьи налоговых и неналоговых</w:t>
      </w:r>
      <w:r>
        <w:rPr>
          <w:b/>
        </w:rPr>
        <w:t xml:space="preserve"> доходов местного бюджета в 2021 г.</w:t>
      </w:r>
      <w:r w:rsidRPr="00784EC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2006"/>
        <w:gridCol w:w="264"/>
        <w:gridCol w:w="4096"/>
      </w:tblGrid>
      <w:tr w:rsidR="00C76BD1" w:rsidRPr="00784EC1" w:rsidTr="00536F3E">
        <w:trPr>
          <w:trHeight w:val="13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4EC1">
              <w:rPr>
                <w:b/>
              </w:rPr>
              <w:t>рублей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 w:rsidRPr="00784EC1">
              <w:rPr>
                <w:b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 w:rsidRPr="00784EC1">
              <w:rPr>
                <w:b/>
              </w:rPr>
              <w:t>2</w:t>
            </w:r>
            <w:r>
              <w:rPr>
                <w:b/>
              </w:rPr>
              <w:t>339460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Налог на доходы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571000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Акцизы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1074800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Налог, взимаемый в связи с применением упрощенной системы налогообложения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100000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Государственная пошлина, сборы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110000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550000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  <w:tr w:rsidR="00C76BD1" w:rsidRPr="00784EC1" w:rsidTr="00536F3E">
        <w:trPr>
          <w:trHeight w:val="7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Штрафы, санкции, возмещение ущерба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2500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BD1" w:rsidRPr="00784EC1" w:rsidRDefault="00C76BD1" w:rsidP="00536F3E">
            <w:pPr>
              <w:pStyle w:val="a3"/>
            </w:pPr>
          </w:p>
        </w:tc>
      </w:tr>
    </w:tbl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Безвозмездные поступления</w:t>
      </w:r>
    </w:p>
    <w:p w:rsidR="00C76BD1" w:rsidRPr="00784EC1" w:rsidRDefault="00C76BD1" w:rsidP="00C76BD1">
      <w:pPr>
        <w:pStyle w:val="a3"/>
      </w:pPr>
      <w:r w:rsidRPr="00784EC1">
        <w:t>Прогнозируемый объем безвозмездных поступлений, передаваемых местному б</w:t>
      </w:r>
      <w:r>
        <w:t>юджету, составляет 827000 руб</w:t>
      </w:r>
      <w:r w:rsidRPr="00784EC1">
        <w:t>. Прогнозная оценка межбюджетных трансфертов в 2018 году характеризуется следующими показателями:</w:t>
      </w:r>
    </w:p>
    <w:p w:rsidR="00C76BD1" w:rsidRPr="00784EC1" w:rsidRDefault="00C76BD1" w:rsidP="00C76BD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6"/>
        <w:gridCol w:w="2235"/>
      </w:tblGrid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 w:rsidRPr="00784EC1">
              <w:rPr>
                <w:b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рублей</w:t>
            </w:r>
          </w:p>
        </w:tc>
      </w:tr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БЕЗВОЗМЕЗДНЫЕ ПОСТУПЛЕНИЯ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817000</w:t>
            </w:r>
          </w:p>
        </w:tc>
      </w:tr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Дотации бюджетам субъектов РФ и муниципальных образований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7</w:t>
            </w:r>
            <w:r>
              <w:t>18000</w:t>
            </w:r>
          </w:p>
        </w:tc>
      </w:tr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Прочие субсидии бюджетам сельских поселений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0</w:t>
            </w:r>
          </w:p>
        </w:tc>
      </w:tr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Субвенции бюджетам субъектов РФ и муниципальных образований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9</w:t>
            </w:r>
            <w:r>
              <w:t>9000</w:t>
            </w:r>
          </w:p>
        </w:tc>
      </w:tr>
      <w:tr w:rsidR="00C76BD1" w:rsidRPr="00784EC1" w:rsidTr="00536F3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Прочие безвозмездные поступления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0</w:t>
            </w:r>
          </w:p>
        </w:tc>
      </w:tr>
    </w:tbl>
    <w:p w:rsidR="00C76BD1" w:rsidRPr="00784EC1" w:rsidRDefault="00C76BD1" w:rsidP="00C76BD1">
      <w:pPr>
        <w:pStyle w:val="a3"/>
      </w:pPr>
    </w:p>
    <w:p w:rsidR="00C76BD1" w:rsidRPr="00784EC1" w:rsidRDefault="00C76BD1" w:rsidP="00C76BD1">
      <w:pPr>
        <w:pStyle w:val="a3"/>
      </w:pPr>
      <w:r w:rsidRPr="00784EC1">
        <w:t>С учетом разграничения полномочий между о</w:t>
      </w:r>
      <w:r>
        <w:t>бластью и муниципалитетом в 2021</w:t>
      </w:r>
      <w:r w:rsidRPr="00784EC1">
        <w:t xml:space="preserve"> году в бюджет Бельковского сельского поселения будут переданы субвенции на выполнение следующи</w:t>
      </w:r>
      <w:r>
        <w:t>х полномочий: военкомат – 96500</w:t>
      </w:r>
      <w:r w:rsidRPr="00784EC1">
        <w:t xml:space="preserve"> рублей. Объем субвенций в 201</w:t>
      </w:r>
      <w:r>
        <w:t>9году планируется в сумме 99000</w:t>
      </w:r>
      <w:r w:rsidRPr="00784EC1">
        <w:t xml:space="preserve"> рублей.</w:t>
      </w:r>
    </w:p>
    <w:p w:rsidR="00C76BD1" w:rsidRPr="00784EC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Расходы местного бюджета</w:t>
      </w:r>
    </w:p>
    <w:p w:rsidR="00C76BD1" w:rsidRPr="00784EC1" w:rsidRDefault="00C76BD1" w:rsidP="00C76BD1">
      <w:pPr>
        <w:pStyle w:val="a3"/>
      </w:pPr>
      <w:r w:rsidRPr="00784EC1">
        <w:t>Формирование расходов местного бюджета, как и в предыдущем году, с разграничением на действующие и вновь принимаемые обязательства, подлежащие исполнению за счет средств местного бюджета</w:t>
      </w:r>
      <w:r>
        <w:t xml:space="preserve"> в 2021</w:t>
      </w:r>
      <w:r w:rsidRPr="00784EC1">
        <w:t xml:space="preserve"> году, ориентировано на решение следующих задач:</w:t>
      </w:r>
    </w:p>
    <w:p w:rsidR="00C76BD1" w:rsidRPr="00784EC1" w:rsidRDefault="00C76BD1" w:rsidP="00C76BD1">
      <w:pPr>
        <w:pStyle w:val="a3"/>
      </w:pPr>
      <w:r w:rsidRPr="00784EC1">
        <w:t>- в полном объеме предусмотреть бюджетные ассигнования на осуществление расходов по выплате заработной платы с начислениями работников бюджетной сферы;</w:t>
      </w:r>
    </w:p>
    <w:p w:rsidR="00C76BD1" w:rsidRPr="00784EC1" w:rsidRDefault="00C76BD1" w:rsidP="00C76BD1">
      <w:pPr>
        <w:pStyle w:val="a3"/>
      </w:pPr>
      <w:r w:rsidRPr="00784EC1">
        <w:t>- расходы на электроэнергию</w:t>
      </w:r>
      <w:proofErr w:type="gramStart"/>
      <w:r w:rsidRPr="00784EC1">
        <w:t xml:space="preserve"> ,</w:t>
      </w:r>
      <w:proofErr w:type="gramEnd"/>
      <w:r w:rsidRPr="00784EC1">
        <w:t>дрова ,воду рассчитываются с применением индексов-дефиляторов цен.</w:t>
      </w:r>
    </w:p>
    <w:p w:rsidR="00C76BD1" w:rsidRPr="00784EC1" w:rsidRDefault="00C76BD1" w:rsidP="00C76BD1">
      <w:pPr>
        <w:pStyle w:val="a3"/>
      </w:pPr>
      <w:r w:rsidRPr="00784EC1">
        <w:t>- планирование прочих расходов осуществляется с учетом оптими</w:t>
      </w:r>
      <w:r>
        <w:t>зации ожидаемого исполнения 2021</w:t>
      </w:r>
      <w:r w:rsidRPr="00784EC1">
        <w:t>года.</w:t>
      </w:r>
    </w:p>
    <w:p w:rsidR="00C76BD1" w:rsidRPr="00784EC1" w:rsidRDefault="00C76BD1" w:rsidP="00C76BD1">
      <w:pPr>
        <w:pStyle w:val="a3"/>
      </w:pPr>
      <w:r w:rsidRPr="00784EC1">
        <w:t>Объем р</w:t>
      </w:r>
      <w:r>
        <w:t>асходов местного бюджета на 2021</w:t>
      </w:r>
      <w:r w:rsidRPr="00784EC1">
        <w:t xml:space="preserve"> го</w:t>
      </w:r>
      <w:r>
        <w:t xml:space="preserve">д сформирован в сумме 1745901 </w:t>
      </w:r>
      <w:r w:rsidRPr="00784EC1">
        <w:t>рублей.</w:t>
      </w:r>
    </w:p>
    <w:p w:rsidR="00C76BD1" w:rsidRPr="00784EC1" w:rsidRDefault="00C76BD1" w:rsidP="00C76BD1">
      <w:pPr>
        <w:pStyle w:val="a3"/>
      </w:pPr>
      <w:r w:rsidRPr="00784EC1">
        <w:t>Сложившаяся в результате расчетов бюджетных ассигнований оценка объемов расходных обязательств по основным функциональным направлениям представлена в таблице:</w:t>
      </w:r>
    </w:p>
    <w:p w:rsidR="00C76BD1" w:rsidRPr="00784EC1" w:rsidRDefault="00C76BD1" w:rsidP="00C76BD1">
      <w:pPr>
        <w:pStyle w:val="a3"/>
        <w:rPr>
          <w:b/>
        </w:rPr>
      </w:pPr>
    </w:p>
    <w:p w:rsidR="00C76BD1" w:rsidRPr="00784EC1" w:rsidRDefault="00C76BD1" w:rsidP="00C76BD1">
      <w:pPr>
        <w:pStyle w:val="a3"/>
        <w:rPr>
          <w:b/>
        </w:rPr>
      </w:pPr>
      <w:r>
        <w:rPr>
          <w:b/>
        </w:rPr>
        <w:t>Расходы местного бюджета в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5"/>
        <w:gridCol w:w="2111"/>
      </w:tblGrid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 w:rsidRPr="00784EC1">
              <w:rPr>
                <w:b/>
              </w:rPr>
              <w:t>Наименование раздела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рублей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Общегосударственные вопросы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1745901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Национальная экономика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1008460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Национальная безопасность и правоохранительная деятельность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3800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Национальная оборона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90,7</w:t>
            </w:r>
            <w:r>
              <w:t>96500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Жилищно-коммунальное хозяйство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325745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Культура, кинематография, средства массовой информации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127200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Социальная политика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24</w:t>
            </w:r>
            <w:r>
              <w:t>000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Образование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27600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Спорт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31200</w:t>
            </w:r>
          </w:p>
        </w:tc>
      </w:tr>
      <w:tr w:rsidR="00C76BD1" w:rsidRPr="00784EC1" w:rsidTr="00536F3E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 w:rsidRPr="00784EC1">
              <w:t>ИТОГО РАСХОДОВ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1" w:rsidRPr="00784EC1" w:rsidRDefault="00C76BD1" w:rsidP="00536F3E">
            <w:pPr>
              <w:pStyle w:val="a3"/>
            </w:pPr>
            <w:r>
              <w:t>3390406</w:t>
            </w:r>
          </w:p>
        </w:tc>
      </w:tr>
    </w:tbl>
    <w:p w:rsidR="00C76BD1" w:rsidRPr="00784EC1" w:rsidRDefault="00C76BD1" w:rsidP="00C76BD1">
      <w:pPr>
        <w:pStyle w:val="a3"/>
      </w:pPr>
      <w:r w:rsidRPr="00784EC1">
        <w:t>Объем расходов местного бюджета, направляемый на обеспечение оплаты труда с начислениями всех категорий работников бюджетной сферы, финансируе</w:t>
      </w:r>
      <w:r>
        <w:t>мых из местного бюджета, на 2021 год составит 3390406</w:t>
      </w:r>
      <w:r w:rsidRPr="00784EC1">
        <w:t xml:space="preserve"> рублей 00 копеек. </w:t>
      </w:r>
    </w:p>
    <w:p w:rsidR="00C76BD1" w:rsidRPr="00784EC1" w:rsidRDefault="00C76BD1" w:rsidP="00C76BD1">
      <w:pPr>
        <w:pStyle w:val="a3"/>
        <w:rPr>
          <w:b/>
        </w:rPr>
      </w:pPr>
      <w:r w:rsidRPr="00784EC1">
        <w:rPr>
          <w:b/>
        </w:rPr>
        <w:t>Политика в области межбюджетных отношений.</w:t>
      </w:r>
    </w:p>
    <w:p w:rsidR="00C76BD1" w:rsidRPr="00784EC1" w:rsidRDefault="00C76BD1" w:rsidP="00C76BD1">
      <w:pPr>
        <w:pStyle w:val="a3"/>
      </w:pPr>
      <w:proofErr w:type="gramStart"/>
      <w:r>
        <w:t>В 2021</w:t>
      </w:r>
      <w:r w:rsidRPr="00784EC1">
        <w:t xml:space="preserve"> году продолжится реализация межбюджетных отношений на основе федеральных законов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№ 131-ФЗ «Об общих принципах организации местного самоуправления в Российской Федерации», Закона Костромской области «О межбюджетных отношениях в Костромской области» с учетом внесенных в него изменений в</w:t>
      </w:r>
      <w:proofErr w:type="gramEnd"/>
      <w:r w:rsidRPr="00784EC1">
        <w:t xml:space="preserve"> </w:t>
      </w:r>
      <w:proofErr w:type="gramStart"/>
      <w:r w:rsidRPr="00784EC1">
        <w:t>рамках</w:t>
      </w:r>
      <w:proofErr w:type="gramEnd"/>
      <w:r w:rsidRPr="00784EC1">
        <w:t xml:space="preserve"> норм Бюджетного кодекса.</w:t>
      </w:r>
    </w:p>
    <w:p w:rsidR="00C76BD1" w:rsidRPr="00784EC1" w:rsidRDefault="00C76BD1" w:rsidP="00C76BD1">
      <w:pPr>
        <w:pStyle w:val="a3"/>
      </w:pPr>
      <w:r w:rsidRPr="00784EC1">
        <w:t>Планирование прочих расходов осуществляется с учетом оптимизац</w:t>
      </w:r>
      <w:r>
        <w:t xml:space="preserve">ии от ожидаемого исполнения 2021 </w:t>
      </w:r>
      <w:r w:rsidRPr="00784EC1">
        <w:t>г.</w:t>
      </w:r>
      <w:r>
        <w:t xml:space="preserve"> </w:t>
      </w:r>
      <w:r w:rsidRPr="00784EC1">
        <w:t>Предусмотрены в бюджете бюджетные ассигнования на погашение кр</w:t>
      </w:r>
      <w:r>
        <w:t xml:space="preserve">едиторской задолженности. В 2021 </w:t>
      </w:r>
      <w:r w:rsidRPr="00784EC1">
        <w:t>г</w:t>
      </w:r>
      <w:proofErr w:type="gramStart"/>
      <w:r w:rsidRPr="00784EC1">
        <w:t>.п</w:t>
      </w:r>
      <w:proofErr w:type="gramEnd"/>
      <w:r w:rsidRPr="00784EC1">
        <w:t>родолжится работа по внедрению программно целевого принципа организации деятельности органов местного самоуправления.</w:t>
      </w:r>
    </w:p>
    <w:p w:rsidR="00C76BD1" w:rsidRPr="00791D74" w:rsidRDefault="00C76BD1" w:rsidP="00C76BD1">
      <w:pPr>
        <w:jc w:val="center"/>
        <w:rPr>
          <w:b/>
          <w:bCs/>
          <w:sz w:val="20"/>
          <w:szCs w:val="20"/>
        </w:rPr>
      </w:pPr>
    </w:p>
    <w:p w:rsidR="00C76BD1" w:rsidRPr="00791D74" w:rsidRDefault="00C76BD1" w:rsidP="00C76BD1">
      <w:pPr>
        <w:jc w:val="center"/>
        <w:rPr>
          <w:b/>
          <w:bCs/>
          <w:sz w:val="20"/>
          <w:szCs w:val="20"/>
        </w:rPr>
      </w:pPr>
    </w:p>
    <w:p w:rsidR="00DA6E76" w:rsidRDefault="00DA6E76"/>
    <w:sectPr w:rsidR="00D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6BD1"/>
    <w:rsid w:val="00C76BD1"/>
    <w:rsid w:val="00DA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D1"/>
    <w:pPr>
      <w:spacing w:after="0" w:line="240" w:lineRule="auto"/>
    </w:pPr>
  </w:style>
  <w:style w:type="table" w:styleId="a4">
    <w:name w:val="Table Grid"/>
    <w:basedOn w:val="a1"/>
    <w:uiPriority w:val="59"/>
    <w:rsid w:val="00C76B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9339</Characters>
  <Application>Microsoft Office Word</Application>
  <DocSecurity>0</DocSecurity>
  <Lines>77</Lines>
  <Paragraphs>21</Paragraphs>
  <ScaleCrop>false</ScaleCrop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2020-11-26T12:17:00Z</dcterms:created>
  <dcterms:modified xsi:type="dcterms:W3CDTF">2020-11-26T12:17:00Z</dcterms:modified>
</cp:coreProperties>
</file>